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C9" w:rsidRDefault="00C711AB">
      <w:pPr>
        <w:pStyle w:val="ac"/>
        <w:tabs>
          <w:tab w:val="left" w:pos="9330"/>
        </w:tabs>
        <w:ind w:firstLine="5103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Утверждены </w:t>
      </w:r>
    </w:p>
    <w:p w:rsidR="006862C9" w:rsidRDefault="00C711AB">
      <w:pPr>
        <w:pStyle w:val="ac"/>
        <w:tabs>
          <w:tab w:val="left" w:pos="9330"/>
        </w:tabs>
        <w:ind w:firstLine="5103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распоряжением Министерства</w:t>
      </w:r>
    </w:p>
    <w:p w:rsidR="006862C9" w:rsidRDefault="00C711AB">
      <w:pPr>
        <w:pStyle w:val="ac"/>
        <w:tabs>
          <w:tab w:val="left" w:pos="9330"/>
        </w:tabs>
        <w:ind w:firstLine="5103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имущественных отношений </w:t>
      </w:r>
    </w:p>
    <w:p w:rsidR="006862C9" w:rsidRDefault="00C711AB">
      <w:pPr>
        <w:pStyle w:val="ac"/>
        <w:tabs>
          <w:tab w:val="left" w:pos="9330"/>
        </w:tabs>
        <w:ind w:firstLine="5103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и градостроительной деятельности</w:t>
      </w:r>
    </w:p>
    <w:p w:rsidR="006862C9" w:rsidRDefault="00C711AB">
      <w:pPr>
        <w:pStyle w:val="ac"/>
        <w:tabs>
          <w:tab w:val="left" w:pos="9330"/>
        </w:tabs>
        <w:ind w:firstLine="5103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области от 10.07.2025 № 1587</w:t>
      </w:r>
      <w:r>
        <w:rPr>
          <w:rFonts w:ascii="XO Thames" w:hAnsi="XO Thames"/>
          <w:sz w:val="26"/>
        </w:rPr>
        <w:t>-р</w:t>
      </w:r>
    </w:p>
    <w:p w:rsidR="006862C9" w:rsidRDefault="00C711AB">
      <w:pPr>
        <w:pStyle w:val="ac"/>
        <w:tabs>
          <w:tab w:val="left" w:pos="9330"/>
        </w:tabs>
        <w:ind w:firstLine="5103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(Приложение 4)</w:t>
      </w:r>
    </w:p>
    <w:p w:rsidR="006862C9" w:rsidRDefault="006862C9">
      <w:pPr>
        <w:pStyle w:val="ac"/>
        <w:tabs>
          <w:tab w:val="left" w:pos="9330"/>
        </w:tabs>
        <w:ind w:left="5387"/>
        <w:jc w:val="right"/>
        <w:rPr>
          <w:sz w:val="28"/>
        </w:rPr>
      </w:pPr>
    </w:p>
    <w:p w:rsidR="006862C9" w:rsidRDefault="00C711AB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Условия конкурса по продаже здания (</w:t>
      </w:r>
      <w:r>
        <w:rPr>
          <w:rFonts w:ascii="XO Thames" w:hAnsi="XO Thames"/>
          <w:sz w:val="26"/>
        </w:rPr>
        <w:t>Учебный корпус</w:t>
      </w:r>
      <w:r>
        <w:rPr>
          <w:rFonts w:ascii="XO Thames" w:hAnsi="XO Thames"/>
          <w:sz w:val="26"/>
        </w:rPr>
        <w:t xml:space="preserve">) </w:t>
      </w:r>
    </w:p>
    <w:p w:rsidR="006862C9" w:rsidRDefault="00C711AB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по адресу: </w:t>
      </w:r>
      <w:r>
        <w:rPr>
          <w:rFonts w:ascii="XO Thames" w:hAnsi="XO Thames"/>
          <w:sz w:val="26"/>
        </w:rPr>
        <w:t xml:space="preserve">Вологодская область, городской округ город </w:t>
      </w:r>
      <w:r>
        <w:rPr>
          <w:rFonts w:ascii="XO Thames" w:hAnsi="XO Thames"/>
          <w:sz w:val="26"/>
        </w:rPr>
        <w:t>Вологда, город Вологда, ул. Сергея Орлова, дом 6</w:t>
      </w:r>
    </w:p>
    <w:p w:rsidR="006862C9" w:rsidRDefault="006862C9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6"/>
        </w:rPr>
      </w:pPr>
    </w:p>
    <w:p w:rsidR="006862C9" w:rsidRDefault="00C711AB">
      <w:pPr>
        <w:tabs>
          <w:tab w:val="left" w:pos="284"/>
          <w:tab w:val="left" w:pos="709"/>
        </w:tabs>
        <w:ind w:firstLine="567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Проведение работ по сохранению объекта культурного наследия регионального значения по адресу: </w:t>
      </w:r>
      <w:proofErr w:type="gramStart"/>
      <w:r>
        <w:rPr>
          <w:rFonts w:ascii="XO Thames" w:hAnsi="XO Thames"/>
          <w:sz w:val="26"/>
        </w:rPr>
        <w:t>Вологодская область, городской округ город Вологда, город Вологда, ул. Сергея Орлова, дом 6, с кадастровым номер</w:t>
      </w:r>
      <w:r>
        <w:rPr>
          <w:rFonts w:ascii="XO Thames" w:hAnsi="XO Thames"/>
          <w:sz w:val="26"/>
        </w:rPr>
        <w:t>ом 35:24:0201008:113 (далее - объект культурного наследия), в соответствии с приложением № 1 к охранному обязательству собственника или иного законного владельца</w:t>
      </w:r>
      <w:r>
        <w:rPr>
          <w:rFonts w:ascii="XO Thames" w:hAnsi="XO Thames"/>
          <w:sz w:val="26"/>
        </w:rPr>
        <w:t xml:space="preserve"> объекта культурного наследия, включенного в единый государственный реестр объектов культурного</w:t>
      </w:r>
      <w:r>
        <w:rPr>
          <w:rFonts w:ascii="XO Thames" w:hAnsi="XO Thames"/>
          <w:sz w:val="26"/>
        </w:rPr>
        <w:t xml:space="preserve"> наследия (памятников истории культуры) народов Российской Федерации, </w:t>
      </w:r>
      <w:r>
        <w:rPr>
          <w:rFonts w:ascii="XO Thames" w:hAnsi="XO Thames"/>
          <w:sz w:val="26"/>
        </w:rPr>
        <w:t>утвержденному приказом Главного управления охраны объектов</w:t>
      </w:r>
      <w:proofErr w:type="gramEnd"/>
      <w:r>
        <w:rPr>
          <w:rFonts w:ascii="XO Thames" w:hAnsi="XO Thames"/>
          <w:sz w:val="26"/>
        </w:rPr>
        <w:t xml:space="preserve"> культурного наследия Вологодской области от 18 июня 2025 года № 22-О/01-11, </w:t>
      </w:r>
      <w:proofErr w:type="gramStart"/>
      <w:r>
        <w:rPr>
          <w:rFonts w:ascii="XO Thames" w:hAnsi="XO Thames"/>
          <w:sz w:val="26"/>
        </w:rPr>
        <w:t>указанных</w:t>
      </w:r>
      <w:proofErr w:type="gramEnd"/>
      <w:r>
        <w:rPr>
          <w:rFonts w:ascii="XO Thames" w:hAnsi="XO Thames"/>
          <w:sz w:val="26"/>
        </w:rPr>
        <w:t xml:space="preserve"> в следующей таблице:</w:t>
      </w:r>
    </w:p>
    <w:p w:rsidR="006862C9" w:rsidRDefault="006862C9">
      <w:pPr>
        <w:tabs>
          <w:tab w:val="left" w:pos="284"/>
          <w:tab w:val="left" w:pos="709"/>
        </w:tabs>
        <w:ind w:firstLine="567"/>
        <w:jc w:val="both"/>
        <w:rPr>
          <w:rFonts w:ascii="XO Thames" w:hAnsi="XO Thames"/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8"/>
        <w:gridCol w:w="3588"/>
        <w:gridCol w:w="2072"/>
        <w:gridCol w:w="3010"/>
      </w:tblGrid>
      <w:tr w:rsidR="006862C9">
        <w:trPr>
          <w:trHeight w:val="1152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C711AB">
            <w:pPr>
              <w:ind w:left="175" w:right="-72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 п/п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C711AB">
            <w:pPr>
              <w:ind w:left="173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Наименование </w:t>
            </w:r>
            <w:r>
              <w:rPr>
                <w:rFonts w:ascii="XO Thames" w:hAnsi="XO Thames"/>
              </w:rPr>
              <w:t>исследовательской, проектно-сметной и технической документации, ремонтно-реставрационных и производственных работ</w:t>
            </w:r>
          </w:p>
          <w:p w:rsidR="006862C9" w:rsidRDefault="006862C9">
            <w:pPr>
              <w:ind w:left="173"/>
              <w:jc w:val="center"/>
              <w:rPr>
                <w:rFonts w:ascii="XO Thames" w:hAnsi="XO Thame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C711AB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Сроки выполнения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C711AB">
            <w:pPr>
              <w:ind w:left="426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Примечание</w:t>
            </w:r>
          </w:p>
        </w:tc>
      </w:tr>
      <w:tr w:rsidR="006862C9">
        <w:trPr>
          <w:trHeight w:val="48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6862C9">
            <w:pPr>
              <w:numPr>
                <w:ilvl w:val="0"/>
                <w:numId w:val="1"/>
              </w:numPr>
              <w:ind w:left="426" w:right="-72" w:firstLine="0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C711AB">
            <w:pPr>
              <w:pStyle w:val="a7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В рамках хозяйственной деятельности обеспечить демонтирование кондиционеров с фасадов здания.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C711AB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до 30 декабря </w:t>
            </w:r>
          </w:p>
          <w:p w:rsidR="006862C9" w:rsidRDefault="00C711AB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2026 года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C711AB">
            <w:pPr>
              <w:ind w:left="-75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Акт технического состояния объекта культурного наследия от 16 июня 2025 г. № 172, извещение об учете мнения получено представителем собственника объекта культурного наследия 17 июня 2025 года. От собственника возражений не поступило.</w:t>
            </w: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  <w:p w:rsidR="006862C9" w:rsidRDefault="006862C9">
            <w:pPr>
              <w:ind w:left="-75"/>
              <w:jc w:val="both"/>
              <w:rPr>
                <w:rFonts w:ascii="XO Thames" w:hAnsi="XO Thames"/>
                <w:sz w:val="26"/>
              </w:rPr>
            </w:pPr>
          </w:p>
        </w:tc>
      </w:tr>
      <w:tr w:rsidR="006862C9">
        <w:trPr>
          <w:trHeight w:val="48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6862C9">
            <w:pPr>
              <w:numPr>
                <w:ilvl w:val="0"/>
                <w:numId w:val="1"/>
              </w:numPr>
              <w:ind w:left="426" w:right="-72" w:firstLine="0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2C9" w:rsidRDefault="00C711AB">
            <w:pPr>
              <w:pStyle w:val="a7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Обеспечить разработку научно-проектной документации на проведение комплексных ремонтно-реставрационных работ, обеспечить ее согласование с региональным органом охраны объектов культурного наследия.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C711AB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до 30 сентября 2027 года</w:t>
            </w: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6862C9"/>
        </w:tc>
      </w:tr>
      <w:tr w:rsidR="006862C9">
        <w:trPr>
          <w:trHeight w:val="48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6862C9">
            <w:pPr>
              <w:numPr>
                <w:ilvl w:val="0"/>
                <w:numId w:val="1"/>
              </w:numPr>
              <w:ind w:left="426" w:right="-72" w:firstLine="0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2C9" w:rsidRDefault="00C711AB">
            <w:pPr>
              <w:pStyle w:val="a7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На </w:t>
            </w:r>
            <w:r>
              <w:rPr>
                <w:rFonts w:ascii="XO Thames" w:hAnsi="XO Thames"/>
                <w:sz w:val="26"/>
              </w:rPr>
              <w:t>основании разработанной и согласованной научно-проектной документации обеспечить проведение работ, указанных в пункте 2 настоящего приложения. Перед началом проведения работ получить разрешение в региональном органе охраны объектов культурного наследия.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C711AB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до</w:t>
            </w:r>
            <w:r>
              <w:rPr>
                <w:rFonts w:ascii="XO Thames" w:hAnsi="XO Thames"/>
                <w:sz w:val="26"/>
              </w:rPr>
              <w:t xml:space="preserve"> 30 сентября 2029 года</w:t>
            </w: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6862C9"/>
        </w:tc>
      </w:tr>
      <w:tr w:rsidR="006862C9">
        <w:trPr>
          <w:trHeight w:val="48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6862C9">
            <w:pPr>
              <w:numPr>
                <w:ilvl w:val="0"/>
                <w:numId w:val="1"/>
              </w:numPr>
              <w:ind w:left="426" w:right="-72" w:firstLine="0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2C9" w:rsidRDefault="00C711AB">
            <w:pPr>
              <w:pStyle w:val="a7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Поддерживать объект культурного наследия и его территорию в надлежащем состоянии.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C711AB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Постоянно</w:t>
            </w: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6862C9"/>
        </w:tc>
      </w:tr>
      <w:tr w:rsidR="006862C9">
        <w:trPr>
          <w:trHeight w:val="48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6862C9">
            <w:pPr>
              <w:numPr>
                <w:ilvl w:val="0"/>
                <w:numId w:val="1"/>
              </w:numPr>
              <w:ind w:left="426" w:right="-72" w:firstLine="0"/>
              <w:jc w:val="center"/>
              <w:rPr>
                <w:rFonts w:ascii="XO Thames" w:hAnsi="XO Thames"/>
                <w:sz w:val="26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C711AB">
            <w:pPr>
              <w:pStyle w:val="a7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Обеспечить проведение ремонтно-реставрационных работ объекта культурного наследия при обнаружении иных дефектов и повреждений с </w:t>
            </w:r>
            <w:r>
              <w:rPr>
                <w:rFonts w:ascii="XO Thames" w:hAnsi="XO Thames"/>
                <w:sz w:val="26"/>
              </w:rPr>
              <w:t>выполнением необходимых подготовительных процедур в соответствии с законодательством.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C711AB">
            <w:pPr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 мере необходимости</w:t>
            </w: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C9" w:rsidRDefault="006862C9"/>
        </w:tc>
      </w:tr>
    </w:tbl>
    <w:p w:rsidR="006862C9" w:rsidRDefault="006862C9">
      <w:pPr>
        <w:ind w:firstLine="567"/>
        <w:jc w:val="both"/>
        <w:rPr>
          <w:rFonts w:ascii="XO Thames" w:hAnsi="XO Thames"/>
          <w:sz w:val="18"/>
        </w:rPr>
      </w:pPr>
    </w:p>
    <w:p w:rsidR="006862C9" w:rsidRDefault="00C711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2. При проведении работ по сохранению объекта культурного наследия Покупатель обязан в установленные Главным управлением охраны объектов </w:t>
      </w:r>
      <w:r>
        <w:rPr>
          <w:rFonts w:ascii="XO Thames" w:hAnsi="XO Thames"/>
          <w:sz w:val="26"/>
        </w:rPr>
        <w:t>культурного наследия (далее – Главное управление) сроки:</w:t>
      </w:r>
    </w:p>
    <w:p w:rsidR="006862C9" w:rsidRDefault="00C711AB">
      <w:pPr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 xml:space="preserve">- обеспечить финансирование и организацию проведения научно-исследовательских, изыскательских, проектных работ, консервации, ремонта, реставрации и иных работ, направленных на обеспечение физической </w:t>
      </w:r>
      <w:r>
        <w:rPr>
          <w:rFonts w:ascii="XO Thames" w:hAnsi="XO Thames"/>
          <w:sz w:val="26"/>
        </w:rPr>
        <w:t>сохранности объекта культурного наследия, включенного в реестр, выявленного объекта культурного наследия, и сохранение предмета охраны объекта культурного наследия, в порядке, установленном Федеральным законом Российской Федерации от 25.06.2002  № 73-ФЗ «О</w:t>
      </w:r>
      <w:r>
        <w:rPr>
          <w:rFonts w:ascii="XO Thames" w:hAnsi="XO Thames"/>
          <w:sz w:val="26"/>
        </w:rPr>
        <w:t>б объектах культурного наследия (памятниках истории и культуры) народов Российской Федерации» (далее – Федеральный</w:t>
      </w:r>
      <w:proofErr w:type="gramEnd"/>
      <w:r>
        <w:rPr>
          <w:rFonts w:ascii="XO Thames" w:hAnsi="XO Thames"/>
          <w:sz w:val="26"/>
        </w:rPr>
        <w:t xml:space="preserve"> закон № 73-ФЗ);</w:t>
      </w:r>
    </w:p>
    <w:p w:rsidR="006862C9" w:rsidRDefault="00C711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в случае обнаружения при проведении работ по сохранению объекта культурного наследия объектов, обладающих признаками объект</w:t>
      </w:r>
      <w:r>
        <w:rPr>
          <w:rFonts w:ascii="XO Thames" w:hAnsi="XO Thames"/>
          <w:sz w:val="26"/>
        </w:rPr>
        <w:t>а культурного наследия, в том числе объектов археологического наследия, незамедлительно приостановить работы и направить в течение трех рабочих дней со дня их обнаружения заявление в письменной форме об указанных объектах в Главное управление. Главное упра</w:t>
      </w:r>
      <w:r>
        <w:rPr>
          <w:rFonts w:ascii="XO Thames" w:hAnsi="XO Thames"/>
          <w:sz w:val="26"/>
        </w:rPr>
        <w:t>вление, которым получено такое заявление, организует работу по определению историко-культурной ценности объекта, обладающего признаками объекта культурного наследия, в порядке, установленном законом субъекта Российской Федерации, на территории которого нах</w:t>
      </w:r>
      <w:r>
        <w:rPr>
          <w:rFonts w:ascii="XO Thames" w:hAnsi="XO Thames"/>
          <w:sz w:val="26"/>
        </w:rPr>
        <w:t xml:space="preserve">одится обнаруженный объект культурного наследия. Дальнейшее взаимодействие </w:t>
      </w:r>
      <w:r>
        <w:rPr>
          <w:rFonts w:ascii="XO Thames" w:hAnsi="XO Thames"/>
          <w:sz w:val="26"/>
        </w:rPr>
        <w:lastRenderedPageBreak/>
        <w:t xml:space="preserve">Главного управления с Покупателем, в отношении объекта, обладающего признаками объекта культурного наследия, осуществляется в порядке, определенном статьей 36 Федерального закона № </w:t>
      </w:r>
      <w:r>
        <w:rPr>
          <w:rFonts w:ascii="XO Thames" w:hAnsi="XO Thames"/>
          <w:sz w:val="26"/>
        </w:rPr>
        <w:t>73-ФЗ;</w:t>
      </w:r>
    </w:p>
    <w:p w:rsidR="006862C9" w:rsidRDefault="00C711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- организовать проведение работ по сохранению объекта культурного наследия,  в соответствии с порядком, предусмотренным </w:t>
      </w:r>
      <w:hyperlink r:id="rId5" w:history="1">
        <w:r>
          <w:rPr>
            <w:rFonts w:ascii="XO Thames" w:hAnsi="XO Thames"/>
            <w:sz w:val="26"/>
          </w:rPr>
          <w:t>статьей 4</w:t>
        </w:r>
        <w:r>
          <w:rPr>
            <w:rFonts w:ascii="XO Thames" w:hAnsi="XO Thames"/>
            <w:sz w:val="26"/>
          </w:rPr>
          <w:t>5</w:t>
        </w:r>
      </w:hyperlink>
      <w:r>
        <w:rPr>
          <w:rFonts w:ascii="XO Thames" w:hAnsi="XO Thames"/>
          <w:sz w:val="26"/>
        </w:rPr>
        <w:t xml:space="preserve"> Федерального закона № 73-ФЗ.</w:t>
      </w:r>
    </w:p>
    <w:p w:rsidR="006862C9" w:rsidRDefault="00C711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 Покупатель в месячный срок с момента проведения мероприятия по сохранению объекта культурного наследия, включенного в реестр, выявленного объекта культурного наследия обязан направить уведомление в Главное управление</w:t>
      </w:r>
      <w:r>
        <w:rPr>
          <w:rFonts w:ascii="XO Thames" w:hAnsi="XO Thames"/>
          <w:sz w:val="26"/>
        </w:rPr>
        <w:t xml:space="preserve"> о его завершении.</w:t>
      </w:r>
    </w:p>
    <w:p w:rsidR="006862C9" w:rsidRDefault="00C711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4. Работы на объекте культурного наследия проводить пропорционально занимаемым площадям, совместно со смежными лицами, указанными в части </w:t>
      </w:r>
      <w:r>
        <w:rPr>
          <w:rFonts w:ascii="XO Thames" w:hAnsi="XO Thames"/>
          <w:sz w:val="26"/>
        </w:rPr>
        <w:br/>
        <w:t>11 статьи 47.6 Федерального закона № 73-ФЗ.</w:t>
      </w:r>
    </w:p>
    <w:p w:rsidR="006862C9" w:rsidRDefault="00C711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5. Все подлинные материалы обследований, обмеров, фикс</w:t>
      </w:r>
      <w:r>
        <w:rPr>
          <w:rFonts w:ascii="XO Thames" w:hAnsi="XO Thames"/>
          <w:sz w:val="26"/>
        </w:rPr>
        <w:t>ации, проектов заключений, отчетов исполняемых по заказу Покупателя, по мере их изготовления передаются  органу охраны объектов культурного наследия в 10-дневный срок после их получения, безвозмездно.</w:t>
      </w:r>
    </w:p>
    <w:p w:rsidR="006862C9" w:rsidRDefault="006862C9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6"/>
        </w:rPr>
      </w:pPr>
    </w:p>
    <w:sectPr w:rsidR="006862C9" w:rsidSect="006862C9">
      <w:pgSz w:w="11908" w:h="16848"/>
      <w:pgMar w:top="1134" w:right="851" w:bottom="79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677C1"/>
    <w:multiLevelType w:val="multilevel"/>
    <w:tmpl w:val="7A3CE5AA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left" w:pos="1828"/>
        </w:tabs>
        <w:ind w:left="1828" w:hanging="360"/>
      </w:pPr>
    </w:lvl>
    <w:lvl w:ilvl="2">
      <w:start w:val="1"/>
      <w:numFmt w:val="lowerRoman"/>
      <w:lvlText w:val="%3."/>
      <w:lvlJc w:val="right"/>
      <w:pPr>
        <w:tabs>
          <w:tab w:val="left" w:pos="2548"/>
        </w:tabs>
        <w:ind w:left="2548" w:hanging="180"/>
      </w:pPr>
    </w:lvl>
    <w:lvl w:ilvl="3">
      <w:start w:val="1"/>
      <w:numFmt w:val="decimal"/>
      <w:lvlText w:val="%4."/>
      <w:lvlJc w:val="left"/>
      <w:pPr>
        <w:tabs>
          <w:tab w:val="left" w:pos="3268"/>
        </w:tabs>
        <w:ind w:left="3268" w:hanging="360"/>
      </w:pPr>
    </w:lvl>
    <w:lvl w:ilvl="4">
      <w:start w:val="1"/>
      <w:numFmt w:val="lowerLetter"/>
      <w:lvlText w:val="%5."/>
      <w:lvlJc w:val="left"/>
      <w:pPr>
        <w:tabs>
          <w:tab w:val="left" w:pos="3988"/>
        </w:tabs>
        <w:ind w:left="3988" w:hanging="360"/>
      </w:pPr>
    </w:lvl>
    <w:lvl w:ilvl="5">
      <w:start w:val="1"/>
      <w:numFmt w:val="lowerRoman"/>
      <w:lvlText w:val="%6."/>
      <w:lvlJc w:val="right"/>
      <w:pPr>
        <w:tabs>
          <w:tab w:val="left" w:pos="4708"/>
        </w:tabs>
        <w:ind w:left="4708" w:hanging="180"/>
      </w:pPr>
    </w:lvl>
    <w:lvl w:ilvl="6">
      <w:start w:val="1"/>
      <w:numFmt w:val="decimal"/>
      <w:lvlText w:val="%7."/>
      <w:lvlJc w:val="left"/>
      <w:pPr>
        <w:tabs>
          <w:tab w:val="left" w:pos="5428"/>
        </w:tabs>
        <w:ind w:left="5428" w:hanging="360"/>
      </w:pPr>
    </w:lvl>
    <w:lvl w:ilvl="7">
      <w:start w:val="1"/>
      <w:numFmt w:val="lowerLetter"/>
      <w:lvlText w:val="%8."/>
      <w:lvlJc w:val="left"/>
      <w:pPr>
        <w:tabs>
          <w:tab w:val="left" w:pos="6148"/>
        </w:tabs>
        <w:ind w:left="6148" w:hanging="360"/>
      </w:pPr>
    </w:lvl>
    <w:lvl w:ilvl="8">
      <w:start w:val="1"/>
      <w:numFmt w:val="lowerRoman"/>
      <w:lvlText w:val="%9."/>
      <w:lvlJc w:val="right"/>
      <w:pPr>
        <w:tabs>
          <w:tab w:val="left" w:pos="6868"/>
        </w:tabs>
        <w:ind w:left="68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2C9"/>
    <w:rsid w:val="006862C9"/>
    <w:rsid w:val="00C7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62C9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6862C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6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62C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6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62C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62C9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6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6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86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6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86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86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6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62C9"/>
    <w:rPr>
      <w:rFonts w:ascii="XO Thames" w:hAnsi="XO Thames"/>
      <w:sz w:val="28"/>
    </w:rPr>
  </w:style>
  <w:style w:type="paragraph" w:styleId="a3">
    <w:name w:val="footer"/>
    <w:basedOn w:val="a"/>
    <w:link w:val="a4"/>
    <w:rsid w:val="006862C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6862C9"/>
  </w:style>
  <w:style w:type="paragraph" w:customStyle="1" w:styleId="Endnote">
    <w:name w:val="Endnote"/>
    <w:link w:val="Endnote0"/>
    <w:rsid w:val="006862C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862C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62C9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  <w:rsid w:val="006862C9"/>
  </w:style>
  <w:style w:type="paragraph" w:styleId="a5">
    <w:name w:val="header"/>
    <w:basedOn w:val="a"/>
    <w:link w:val="a6"/>
    <w:rsid w:val="006862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6862C9"/>
  </w:style>
  <w:style w:type="paragraph" w:styleId="a7">
    <w:name w:val="Normal (Web)"/>
    <w:basedOn w:val="a"/>
    <w:link w:val="a8"/>
    <w:rsid w:val="006862C9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sid w:val="006862C9"/>
  </w:style>
  <w:style w:type="paragraph" w:customStyle="1" w:styleId="13">
    <w:name w:val="Гиперссылка1"/>
    <w:link w:val="14"/>
    <w:rsid w:val="006862C9"/>
    <w:rPr>
      <w:color w:val="0000FF"/>
      <w:u w:val="single"/>
    </w:rPr>
  </w:style>
  <w:style w:type="character" w:customStyle="1" w:styleId="14">
    <w:name w:val="Гиперссылка1"/>
    <w:link w:val="13"/>
    <w:rsid w:val="006862C9"/>
    <w:rPr>
      <w:color w:val="0000FF"/>
      <w:u w:val="single"/>
    </w:rPr>
  </w:style>
  <w:style w:type="paragraph" w:styleId="31">
    <w:name w:val="toc 3"/>
    <w:next w:val="a"/>
    <w:link w:val="32"/>
    <w:uiPriority w:val="39"/>
    <w:rsid w:val="00686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862C9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6862C9"/>
  </w:style>
  <w:style w:type="character" w:customStyle="1" w:styleId="16">
    <w:name w:val="Основной шрифт абзаца1"/>
    <w:link w:val="15"/>
    <w:rsid w:val="006862C9"/>
  </w:style>
  <w:style w:type="paragraph" w:styleId="a9">
    <w:name w:val="List Paragraph"/>
    <w:basedOn w:val="a"/>
    <w:link w:val="aa"/>
    <w:rsid w:val="00686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6862C9"/>
  </w:style>
  <w:style w:type="character" w:customStyle="1" w:styleId="50">
    <w:name w:val="Заголовок 5 Знак"/>
    <w:link w:val="5"/>
    <w:rsid w:val="006862C9"/>
    <w:rPr>
      <w:rFonts w:ascii="XO Thames" w:hAnsi="XO Thames"/>
      <w:b/>
    </w:rPr>
  </w:style>
  <w:style w:type="paragraph" w:customStyle="1" w:styleId="ConsPlusNormal">
    <w:name w:val="ConsPlusNormal"/>
    <w:link w:val="ConsPlusNormal0"/>
    <w:rsid w:val="006862C9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6862C9"/>
    <w:rPr>
      <w:rFonts w:ascii="Arial" w:hAnsi="Arial"/>
      <w:sz w:val="20"/>
    </w:rPr>
  </w:style>
  <w:style w:type="character" w:customStyle="1" w:styleId="11">
    <w:name w:val="Заголовок 1 Знак"/>
    <w:link w:val="10"/>
    <w:rsid w:val="006862C9"/>
    <w:rPr>
      <w:rFonts w:ascii="XO Thames" w:hAnsi="XO Thames"/>
      <w:b/>
      <w:sz w:val="32"/>
    </w:rPr>
  </w:style>
  <w:style w:type="paragraph" w:customStyle="1" w:styleId="23">
    <w:name w:val="Гиперссылка2"/>
    <w:link w:val="ab"/>
    <w:rsid w:val="006862C9"/>
    <w:rPr>
      <w:color w:val="0000FF"/>
      <w:u w:val="single"/>
    </w:rPr>
  </w:style>
  <w:style w:type="character" w:styleId="ab">
    <w:name w:val="Hyperlink"/>
    <w:link w:val="23"/>
    <w:rsid w:val="006862C9"/>
    <w:rPr>
      <w:color w:val="0000FF"/>
      <w:u w:val="single"/>
    </w:rPr>
  </w:style>
  <w:style w:type="paragraph" w:customStyle="1" w:styleId="Footnote">
    <w:name w:val="Footnote"/>
    <w:link w:val="Footnote0"/>
    <w:rsid w:val="006862C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862C9"/>
    <w:rPr>
      <w:rFonts w:ascii="XO Thames" w:hAnsi="XO Thames"/>
    </w:rPr>
  </w:style>
  <w:style w:type="paragraph" w:styleId="17">
    <w:name w:val="toc 1"/>
    <w:next w:val="a"/>
    <w:link w:val="18"/>
    <w:uiPriority w:val="39"/>
    <w:rsid w:val="006862C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6862C9"/>
    <w:rPr>
      <w:rFonts w:ascii="XO Thames" w:hAnsi="XO Thames"/>
      <w:b/>
      <w:sz w:val="28"/>
    </w:rPr>
  </w:style>
  <w:style w:type="paragraph" w:styleId="ac">
    <w:name w:val="Body Text"/>
    <w:basedOn w:val="a"/>
    <w:link w:val="ad"/>
    <w:rsid w:val="006862C9"/>
  </w:style>
  <w:style w:type="character" w:customStyle="1" w:styleId="ad">
    <w:name w:val="Основной текст Знак"/>
    <w:basedOn w:val="1"/>
    <w:link w:val="ac"/>
    <w:rsid w:val="006862C9"/>
  </w:style>
  <w:style w:type="paragraph" w:customStyle="1" w:styleId="HeaderandFooter">
    <w:name w:val="Header and Footer"/>
    <w:link w:val="HeaderandFooter0"/>
    <w:rsid w:val="006862C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862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86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6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86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62C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86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862C9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6862C9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6862C9"/>
    <w:rPr>
      <w:rFonts w:ascii="XO Thames" w:hAnsi="XO Thames"/>
      <w:i/>
      <w:sz w:val="24"/>
    </w:rPr>
  </w:style>
  <w:style w:type="paragraph" w:customStyle="1" w:styleId="19">
    <w:name w:val="Обычный1"/>
    <w:link w:val="1a"/>
    <w:rsid w:val="006862C9"/>
    <w:rPr>
      <w:rFonts w:ascii="Times New Roman" w:hAnsi="Times New Roman"/>
      <w:sz w:val="24"/>
    </w:rPr>
  </w:style>
  <w:style w:type="character" w:customStyle="1" w:styleId="1a">
    <w:name w:val="Обычный1"/>
    <w:link w:val="19"/>
    <w:rsid w:val="006862C9"/>
    <w:rPr>
      <w:rFonts w:ascii="Times New Roman" w:hAnsi="Times New Roman"/>
      <w:sz w:val="24"/>
    </w:rPr>
  </w:style>
  <w:style w:type="paragraph" w:styleId="af0">
    <w:name w:val="Title"/>
    <w:next w:val="a"/>
    <w:link w:val="af1"/>
    <w:uiPriority w:val="10"/>
    <w:qFormat/>
    <w:rsid w:val="00686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686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862C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62C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6FD6639B152F9EB29462D322C0F772BD4AFCC24579A03E37510F366D04FD320DF9895FD5420m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4282</Characters>
  <Application>Microsoft Office Word</Application>
  <DocSecurity>4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Ольга Георгиевна</dc:creator>
  <cp:lastModifiedBy>belousova.og</cp:lastModifiedBy>
  <cp:revision>2</cp:revision>
  <dcterms:created xsi:type="dcterms:W3CDTF">2025-07-10T08:19:00Z</dcterms:created>
  <dcterms:modified xsi:type="dcterms:W3CDTF">2025-07-10T08:19:00Z</dcterms:modified>
</cp:coreProperties>
</file>